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bookmarkStart w:id="6" w:name="_Toc15396598"/>
      <w:bookmarkStart w:id="7" w:name="_Toc15377194"/>
      <w:bookmarkStart w:id="8" w:name="_Toc15396476"/>
      <w:bookmarkStart w:id="9" w:name="_Toc15377426"/>
      <w:bookmarkStart w:id="10" w:name="_Toc15378442"/>
      <w:bookmarkStart w:id="11" w:name="_Toc15306268"/>
      <w:r>
        <w:rPr>
          <w:rFonts w:hint="eastAsia" w:ascii="方正小标宋简体" w:hAnsi="方正小标宋简体" w:eastAsia="方正小标宋简体" w:cs="方正小标宋简体"/>
          <w:sz w:val="52"/>
          <w:szCs w:val="52"/>
          <w:lang w:eastAsia="zh-CN"/>
        </w:rPr>
        <w:t>泸州市天宇中等职业技术学校</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编制说明</w:t>
      </w:r>
    </w:p>
    <w:p>
      <w:pPr>
        <w:adjustRightInd w:val="0"/>
        <w:snapToGrid w:val="0"/>
        <w:spacing w:line="360" w:lineRule="auto"/>
        <w:jc w:val="center"/>
        <w:outlineLvl w:val="0"/>
        <w:rPr>
          <w:rFonts w:ascii="方正小标宋简体" w:hAnsi="宋体" w:eastAsia="方正小标宋简体"/>
          <w:sz w:val="52"/>
          <w:szCs w:val="52"/>
        </w:rPr>
      </w:pPr>
      <w:bookmarkStart w:id="67" w:name="_GoBack"/>
      <w:bookmarkEnd w:id="67"/>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w:t>
      </w:r>
      <w:r>
        <w:rPr>
          <w:rFonts w:hint="eastAsia"/>
          <w:lang w:val="en-US" w:eastAsia="zh-CN"/>
        </w:rPr>
        <w:t>27</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1、贯彻执行党的教育方针、政策。</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2、根据教学、培训任务要求，制定教学计划和教学大纲，加强教学实训基地建设，研究和改进教学方法，提高教学水平。</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3、组织编制和实施学校的长期规划、年度计划和学期计划。</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4、负责各级各类短期培训和实施规定工种、层次的职业技能鉴定等工作。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5、负责学前教育、模具设计制造、计算机应用和老年服务管理等专业的教育教学及实习工作。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6、负责做好行政、后勤和安全管理工作，维护正常校园秩序，保证教学和教育工作顺利进行。</w:t>
      </w:r>
    </w:p>
    <w:p>
      <w:pPr>
        <w:numPr>
          <w:ilvl w:val="0"/>
          <w:numId w:val="0"/>
        </w:numPr>
      </w:pPr>
      <w:r>
        <w:rPr>
          <w:rFonts w:hint="eastAsia" w:ascii="仿宋" w:hAnsi="仿宋" w:eastAsia="仿宋"/>
          <w:bCs/>
          <w:color w:val="000000"/>
          <w:sz w:val="32"/>
          <w:szCs w:val="32"/>
        </w:rPr>
        <w:t>7、完成主管部门布置的其他任务。</w:t>
      </w:r>
    </w:p>
    <w:p>
      <w:pPr>
        <w:pStyle w:val="4"/>
        <w:rPr>
          <w:rFonts w:ascii="黑体" w:hAnsi="黑体" w:eastAsia="黑体"/>
          <w:b w:val="0"/>
        </w:rPr>
      </w:pPr>
      <w:r>
        <w:rPr>
          <w:rFonts w:hint="eastAsia" w:ascii="黑体" w:hAnsi="黑体" w:eastAsia="黑体"/>
          <w:b w:val="0"/>
        </w:rPr>
        <w:t>二、机构设置</w:t>
      </w:r>
    </w:p>
    <w:bookmarkEnd w:id="14"/>
    <w:bookmarkEnd w:id="15"/>
    <w:p>
      <w:pPr>
        <w:ind w:firstLine="800" w:firstLineChars="250"/>
        <w:rPr>
          <w:rFonts w:ascii="仿宋" w:hAnsi="仿宋" w:eastAsia="仿宋"/>
          <w:kern w:val="0"/>
          <w:sz w:val="32"/>
          <w:szCs w:val="32"/>
        </w:rPr>
      </w:pPr>
      <w:r>
        <w:rPr>
          <w:rFonts w:hint="eastAsia" w:ascii="仿宋" w:hAnsi="仿宋" w:eastAsia="仿宋"/>
          <w:sz w:val="32"/>
          <w:szCs w:val="32"/>
        </w:rPr>
        <w:t>泸州市天宇中等职业技术学校无下属二级单位。</w:t>
      </w:r>
      <w:r>
        <w:rPr>
          <w:rFonts w:hint="eastAsia" w:ascii="仿宋" w:hAnsi="仿宋" w:eastAsia="仿宋"/>
          <w:color w:val="auto"/>
          <w:sz w:val="32"/>
          <w:szCs w:val="32"/>
          <w:highlight w:val="none"/>
        </w:rPr>
        <w:t>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304.9</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1.26</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人员经费支出减少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139700</wp:posOffset>
            </wp:positionV>
            <wp:extent cx="5091430" cy="1808480"/>
            <wp:effectExtent l="4445" t="4445" r="9525" b="1587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304.9</w:t>
      </w:r>
      <w:r>
        <w:rPr>
          <w:rFonts w:hint="eastAsia" w:ascii="仿宋" w:hAnsi="仿宋" w:eastAsia="仿宋"/>
          <w:sz w:val="32"/>
          <w:szCs w:val="32"/>
        </w:rPr>
        <w:t>万元，其中：一般公共预算财政拨款收入</w:t>
      </w:r>
      <w:r>
        <w:rPr>
          <w:rFonts w:ascii="仿宋" w:hAnsi="仿宋" w:eastAsia="仿宋"/>
          <w:b/>
          <w:sz w:val="32"/>
          <w:szCs w:val="32"/>
        </w:rPr>
        <w:t>304.9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pStyle w:val="2"/>
        <w:rPr>
          <w:rFonts w:hint="eastAsia" w:eastAsia="仿宋"/>
          <w:lang w:eastAsia="zh-CN"/>
        </w:rPr>
      </w:pPr>
      <w:r>
        <w:rPr>
          <w:rFonts w:hint="eastAsia" w:eastAsia="仿宋"/>
          <w:lang w:eastAsia="zh-CN"/>
        </w:rPr>
        <w:drawing>
          <wp:inline distT="0" distB="0" distL="114300" distR="114300">
            <wp:extent cx="4935220" cy="3303270"/>
            <wp:effectExtent l="4445" t="4445" r="1333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304.9</w:t>
      </w:r>
      <w:r>
        <w:rPr>
          <w:rFonts w:hint="eastAsia" w:ascii="仿宋" w:hAnsi="仿宋" w:eastAsia="仿宋"/>
          <w:sz w:val="32"/>
          <w:szCs w:val="32"/>
        </w:rPr>
        <w:t>万元，其中：基本支出</w:t>
      </w:r>
      <w:r>
        <w:rPr>
          <w:rFonts w:ascii="仿宋" w:hAnsi="仿宋" w:eastAsia="仿宋"/>
          <w:b/>
          <w:sz w:val="32"/>
          <w:szCs w:val="32"/>
        </w:rPr>
        <w:t>304.9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rPr>
          <w:rFonts w:ascii="仿宋" w:hAnsi="仿宋" w:eastAsia="仿宋"/>
          <w:sz w:val="32"/>
          <w:szCs w:val="32"/>
          <w:shd w:val="pct10" w:color="auto" w:fill="FFFFFF"/>
        </w:rPr>
      </w:pPr>
    </w:p>
    <w:p>
      <w:pPr>
        <w:pStyle w:val="2"/>
      </w:pPr>
      <w:r>
        <w:rPr>
          <w:rFonts w:hint="eastAsia" w:eastAsia="仿宋"/>
          <w:lang w:eastAsia="zh-CN"/>
        </w:rPr>
        <w:drawing>
          <wp:inline distT="0" distB="0" distL="114300" distR="114300">
            <wp:extent cx="4935220" cy="3303270"/>
            <wp:effectExtent l="4445" t="4445" r="1333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304.9</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1.26</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人员经费减少</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195580</wp:posOffset>
            </wp:positionH>
            <wp:positionV relativeFrom="paragraph">
              <wp:posOffset>-102870</wp:posOffset>
            </wp:positionV>
            <wp:extent cx="5091430" cy="1808480"/>
            <wp:effectExtent l="4445" t="4445" r="9525" b="1587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304.9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。与2022年度相比，一般公共预算财政拨款支出财政拨款收、支总计各减少</w:t>
      </w:r>
      <w:r>
        <w:rPr>
          <w:rFonts w:hint="eastAsia" w:ascii="仿宋" w:hAnsi="仿宋" w:eastAsia="仿宋"/>
          <w:sz w:val="32"/>
          <w:szCs w:val="32"/>
          <w:lang w:val="en-US" w:eastAsia="zh-CN"/>
        </w:rPr>
        <w:t>1.26</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304.9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248.01</w:t>
      </w:r>
      <w:r>
        <w:rPr>
          <w:rFonts w:hint="eastAsia" w:ascii="仿宋" w:hAnsi="仿宋" w:eastAsia="仿宋"/>
          <w:sz w:val="32"/>
          <w:szCs w:val="32"/>
        </w:rPr>
        <w:t>万元，占</w:t>
      </w:r>
      <w:r>
        <w:rPr>
          <w:rFonts w:hint="eastAsia" w:ascii="仿宋" w:hAnsi="仿宋" w:eastAsia="仿宋"/>
          <w:sz w:val="32"/>
          <w:szCs w:val="32"/>
          <w:lang w:val="en-US" w:eastAsia="zh-CN"/>
        </w:rPr>
        <w:t>81.34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23.17</w:t>
      </w:r>
      <w:r>
        <w:rPr>
          <w:rFonts w:hint="eastAsia" w:ascii="仿宋" w:hAnsi="仿宋" w:eastAsia="仿宋"/>
          <w:sz w:val="32"/>
          <w:szCs w:val="32"/>
        </w:rPr>
        <w:t>万元，占</w:t>
      </w:r>
      <w:r>
        <w:rPr>
          <w:rFonts w:hint="eastAsia" w:ascii="仿宋" w:hAnsi="仿宋" w:eastAsia="仿宋"/>
          <w:sz w:val="32"/>
          <w:szCs w:val="32"/>
          <w:lang w:val="en-US" w:eastAsia="zh-CN"/>
        </w:rPr>
        <w:t>7.59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16.35</w:t>
      </w:r>
      <w:r>
        <w:rPr>
          <w:rFonts w:hint="eastAsia" w:ascii="仿宋" w:hAnsi="仿宋" w:eastAsia="仿宋"/>
          <w:sz w:val="32"/>
          <w:szCs w:val="32"/>
        </w:rPr>
        <w:t>万元，占</w:t>
      </w:r>
      <w:r>
        <w:rPr>
          <w:rFonts w:hint="eastAsia" w:ascii="仿宋" w:hAnsi="仿宋" w:eastAsia="仿宋"/>
          <w:sz w:val="32"/>
          <w:szCs w:val="32"/>
          <w:lang w:val="en-US" w:eastAsia="zh-CN"/>
        </w:rPr>
        <w:t>5.36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17.34</w:t>
      </w:r>
      <w:r>
        <w:rPr>
          <w:rFonts w:hint="eastAsia" w:ascii="仿宋" w:hAnsi="仿宋" w:eastAsia="仿宋"/>
          <w:sz w:val="32"/>
          <w:szCs w:val="32"/>
        </w:rPr>
        <w:t>万元，占</w:t>
      </w:r>
      <w:r>
        <w:rPr>
          <w:rFonts w:hint="eastAsia" w:ascii="仿宋" w:hAnsi="仿宋" w:eastAsia="仿宋"/>
          <w:sz w:val="32"/>
          <w:szCs w:val="32"/>
          <w:lang w:val="en-US" w:eastAsia="zh-CN"/>
        </w:rPr>
        <w:t>5.69</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rPr>
          <w:rFonts w:hint="eastAsia" w:eastAsia="仿宋"/>
          <w:lang w:eastAsia="zh-CN"/>
        </w:rPr>
        <w:drawing>
          <wp:inline distT="0" distB="0" distL="114300" distR="114300">
            <wp:extent cx="4935220" cy="3303270"/>
            <wp:effectExtent l="4445" t="4445" r="13335" b="69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304.9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_GB2312" w:eastAsia="仿宋_GB2312"/>
          <w:color w:val="000000"/>
          <w:sz w:val="32"/>
          <w:szCs w:val="32"/>
        </w:rPr>
        <w:t>教育（类）--职业教育（款）--中等职业教育（项）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Fonts w:hint="eastAsia" w:ascii="仿宋" w:hAnsi="仿宋" w:eastAsia="仿宋"/>
          <w:sz w:val="32"/>
          <w:szCs w:val="32"/>
          <w:lang w:val="en-US" w:eastAsia="zh-CN"/>
        </w:rPr>
        <w:t>248.01</w:t>
      </w:r>
      <w:r>
        <w:rPr>
          <w:rStyle w:val="16"/>
          <w:rFonts w:hint="eastAsia" w:ascii="仿宋" w:hAnsi="仿宋" w:eastAsia="仿宋"/>
          <w:b w:val="0"/>
          <w:bCs/>
          <w:sz w:val="32"/>
          <w:szCs w:val="32"/>
        </w:rPr>
        <w:t>万元，完成预算</w:t>
      </w:r>
      <w:r>
        <w:rPr>
          <w:rFonts w:hint="eastAsia" w:ascii="仿宋" w:hAnsi="仿宋" w:eastAsia="仿宋"/>
          <w:sz w:val="32"/>
          <w:szCs w:val="32"/>
          <w:lang w:val="en-US" w:eastAsia="zh-CN"/>
        </w:rPr>
        <w:t>81.34</w:t>
      </w:r>
      <w:r>
        <w:rPr>
          <w:rFonts w:ascii="仿宋" w:hAnsi="仿宋" w:eastAsia="仿宋"/>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23.17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7.59</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Style w:val="16"/>
          <w:rFonts w:hint="eastAsia" w:ascii="仿宋" w:hAnsi="仿宋" w:eastAsia="仿宋"/>
          <w:b w:val="0"/>
          <w:bCs/>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Fonts w:hint="eastAsia" w:ascii="仿宋" w:hAnsi="仿宋" w:eastAsia="仿宋"/>
          <w:sz w:val="32"/>
          <w:szCs w:val="32"/>
          <w:lang w:val="en-US" w:eastAsia="zh-CN"/>
        </w:rPr>
        <w:t>16.35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5.36</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_GB2312" w:eastAsia="仿宋_GB2312"/>
          <w:b/>
          <w:color w:val="000000"/>
          <w:sz w:val="32"/>
          <w:szCs w:val="32"/>
        </w:rPr>
      </w:pPr>
      <w:r>
        <w:rPr>
          <w:rStyle w:val="16"/>
          <w:rFonts w:hint="default" w:ascii="仿宋_GB2312" w:eastAsia="仿宋_GB2312"/>
          <w:color w:val="000000"/>
          <w:sz w:val="32"/>
          <w:szCs w:val="32"/>
        </w:rPr>
        <w:t>7</w:t>
      </w:r>
      <w:r>
        <w:rPr>
          <w:rStyle w:val="16"/>
          <w:rFonts w:hint="eastAsia" w:ascii="仿宋_GB2312" w:eastAsia="仿宋_GB2312"/>
          <w:color w:val="000000"/>
          <w:sz w:val="32"/>
          <w:szCs w:val="32"/>
        </w:rPr>
        <w:t>.住房保障支出（类）--住房改革支出（款）--住房公积金（项）:</w:t>
      </w:r>
      <w:r>
        <w:rPr>
          <w:rStyle w:val="16"/>
          <w:rFonts w:hint="eastAsia" w:ascii="仿宋_GB2312" w:eastAsia="仿宋_GB2312"/>
          <w:b w:val="0"/>
          <w:color w:val="000000"/>
          <w:sz w:val="32"/>
          <w:szCs w:val="32"/>
        </w:rPr>
        <w:t xml:space="preserve"> 支出决算为</w:t>
      </w:r>
      <w:r>
        <w:rPr>
          <w:rStyle w:val="16"/>
          <w:rFonts w:hint="default" w:ascii="仿宋_GB2312" w:eastAsia="仿宋_GB2312"/>
          <w:b w:val="0"/>
          <w:color w:val="000000"/>
          <w:sz w:val="32"/>
          <w:szCs w:val="32"/>
        </w:rPr>
        <w:t>1</w:t>
      </w:r>
      <w:r>
        <w:rPr>
          <w:rStyle w:val="16"/>
          <w:rFonts w:hint="eastAsia" w:ascii="仿宋_GB2312" w:eastAsia="仿宋_GB2312"/>
          <w:b w:val="0"/>
          <w:color w:val="000000"/>
          <w:sz w:val="32"/>
          <w:szCs w:val="32"/>
          <w:lang w:val="en-US" w:eastAsia="zh-CN"/>
        </w:rPr>
        <w:t>7.34</w:t>
      </w:r>
      <w:r>
        <w:rPr>
          <w:rStyle w:val="16"/>
          <w:rFonts w:hint="eastAsia" w:ascii="仿宋_GB2312" w:eastAsia="仿宋_GB2312"/>
          <w:b w:val="0"/>
          <w:color w:val="000000"/>
          <w:sz w:val="32"/>
          <w:szCs w:val="32"/>
        </w:rPr>
        <w:t>万元，完成预算</w:t>
      </w:r>
      <w:r>
        <w:rPr>
          <w:rStyle w:val="16"/>
          <w:rFonts w:hint="eastAsia" w:ascii="仿宋_GB2312" w:eastAsia="仿宋_GB2312"/>
          <w:b w:val="0"/>
          <w:color w:val="000000"/>
          <w:sz w:val="32"/>
          <w:szCs w:val="32"/>
          <w:lang w:val="en-US" w:eastAsia="zh-CN"/>
        </w:rPr>
        <w:t>5.69</w:t>
      </w:r>
      <w:r>
        <w:rPr>
          <w:rStyle w:val="16"/>
          <w:rFonts w:hint="eastAsia" w:ascii="仿宋_GB2312" w:eastAsia="仿宋_GB2312"/>
          <w:b w:val="0"/>
          <w:color w:val="000000"/>
          <w:sz w:val="32"/>
          <w:szCs w:val="32"/>
        </w:rPr>
        <w:t>%。</w:t>
      </w:r>
    </w:p>
    <w:p>
      <w:pPr>
        <w:pStyle w:val="2"/>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304.9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300.05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4.85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%。决算数小于预算数（或与预算数持平）的主要原因是</w:t>
      </w:r>
      <w:r>
        <w:rPr>
          <w:rFonts w:hint="eastAsia" w:ascii="仿宋" w:hAnsi="仿宋" w:eastAsia="仿宋"/>
          <w:sz w:val="32"/>
          <w:szCs w:val="32"/>
          <w:lang w:eastAsia="zh-CN"/>
        </w:rPr>
        <w:t>我单位没有三公经费支出</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辆、越野车</w:t>
      </w:r>
      <w:r>
        <w:rPr>
          <w:rFonts w:ascii="仿宋_GB2312" w:eastAsia="仿宋_GB2312"/>
          <w:sz w:val="32"/>
          <w:szCs w:val="32"/>
        </w:rPr>
        <w:t>**</w:t>
      </w:r>
      <w:r>
        <w:rPr>
          <w:rFonts w:hint="eastAsia" w:ascii="仿宋_GB2312" w:eastAsia="仿宋_GB2312"/>
          <w:sz w:val="32"/>
          <w:szCs w:val="32"/>
        </w:rPr>
        <w:t>辆、载客汽车</w:t>
      </w:r>
      <w:r>
        <w:rPr>
          <w:rFonts w:ascii="仿宋_GB2312" w:eastAsia="仿宋_GB2312"/>
          <w:sz w:val="32"/>
          <w:szCs w:val="32"/>
        </w:rPr>
        <w:t>**</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万元，具体内容包括：…（接待具体项目、金额）。</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泸州市天宇中等职业技术学校</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（或与2022年度决算数持平）。主要原因是……。</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泸州市天宇中等职业技术学校</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泸州市天宇中等职业技术学校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ascii="仿宋_GB2312" w:eastAsia="仿宋_GB2312"/>
          <w:sz w:val="32"/>
          <w:szCs w:val="32"/>
        </w:rPr>
        <w:t>**</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
          <w:jc w:val="center"/>
        </w:pPr>
        <w:r>
          <w:fldChar w:fldCharType="begin"/>
        </w:r>
        <w:r>
          <w:instrText xml:space="preserve">PAGE   \* MERGEFORMAT</w:instrText>
        </w:r>
        <w:r>
          <w:fldChar w:fldCharType="separate"/>
        </w:r>
        <w:r>
          <w:rPr>
            <w:lang w:val="zh-CN"/>
          </w:rPr>
          <w:t>15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zE0MzAxMWJmMzU3OGM1OTJkOTJlMzMzYjBhM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CEA011C"/>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81367F7"/>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06E03A5"/>
    <w:rsid w:val="71685E15"/>
    <w:rsid w:val="71BF4EC2"/>
    <w:rsid w:val="72734D90"/>
    <w:rsid w:val="73E75B71"/>
    <w:rsid w:val="7412278C"/>
    <w:rsid w:val="75DDCDA9"/>
    <w:rsid w:val="75FF44B1"/>
    <w:rsid w:val="77670518"/>
    <w:rsid w:val="777FA627"/>
    <w:rsid w:val="77DF1B5F"/>
    <w:rsid w:val="77EF2D9D"/>
    <w:rsid w:val="78A03EB2"/>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EFFD88D"/>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2"/>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306.16</c:v>
                </c:pt>
                <c:pt idx="1">
                  <c:v>306.16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304.9</c:v>
                </c:pt>
                <c:pt idx="1">
                  <c:v>304.9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6752427"/>
        <c:axId val="184652983"/>
      </c:barChart>
      <c:catAx>
        <c:axId val="1767524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652983"/>
        <c:crosses val="autoZero"/>
        <c:auto val="1"/>
        <c:lblAlgn val="ctr"/>
        <c:lblOffset val="100"/>
        <c:noMultiLvlLbl val="0"/>
      </c:catAx>
      <c:valAx>
        <c:axId val="184652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7524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收入来源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304.9</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6173443129182"/>
          <c:y val="0.7470203767781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支出决算</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基本支出</c:v>
                </c:pt>
                <c:pt idx="1">
                  <c:v>项目支出</c:v>
                </c:pt>
                <c:pt idx="2">
                  <c:v>缴上级支出</c:v>
                </c:pt>
                <c:pt idx="3">
                  <c:v>经营支出</c:v>
                </c:pt>
                <c:pt idx="4">
                  <c:v>附属单位补助支出</c:v>
                </c:pt>
              </c:strCache>
            </c:strRef>
          </c:cat>
          <c:val>
            <c:numRef>
              <c:f>Sheet1!$B$2:$B$9</c:f>
              <c:numCache>
                <c:formatCode>General</c:formatCode>
                <c:ptCount val="8"/>
                <c:pt idx="0">
                  <c:v>304.9</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306.16</c:v>
                </c:pt>
                <c:pt idx="1">
                  <c:v>306.16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304.9</c:v>
                </c:pt>
                <c:pt idx="1">
                  <c:v>304.9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6752427"/>
        <c:axId val="184652983"/>
      </c:barChart>
      <c:catAx>
        <c:axId val="1767524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652983"/>
        <c:crosses val="autoZero"/>
        <c:auto val="1"/>
        <c:lblAlgn val="ctr"/>
        <c:lblOffset val="100"/>
        <c:noMultiLvlLbl val="0"/>
      </c:catAx>
      <c:valAx>
        <c:axId val="184652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7524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支出决算</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教育支出</c:v>
                </c:pt>
                <c:pt idx="2">
                  <c:v>科学技术支出</c:v>
                </c:pt>
                <c:pt idx="3">
                  <c:v>文化旅游体育与传媒支出</c:v>
                </c:pt>
                <c:pt idx="4">
                  <c:v>社会保障和就业支出</c:v>
                </c:pt>
                <c:pt idx="5">
                  <c:v>卫生健康支出</c:v>
                </c:pt>
                <c:pt idx="6">
                  <c:v>住房保障支出</c:v>
                </c:pt>
                <c:pt idx="7">
                  <c:v>其他</c:v>
                </c:pt>
              </c:strCache>
            </c:strRef>
          </c:cat>
          <c:val>
            <c:numRef>
              <c:f>Sheet1!$B$2:$B$9</c:f>
              <c:numCache>
                <c:formatCode>General</c:formatCode>
                <c:ptCount val="8"/>
                <c:pt idx="0">
                  <c:v>0</c:v>
                </c:pt>
                <c:pt idx="1">
                  <c:v>248.01</c:v>
                </c:pt>
                <c:pt idx="2">
                  <c:v>0</c:v>
                </c:pt>
                <c:pt idx="3">
                  <c:v>0</c:v>
                </c:pt>
                <c:pt idx="4">
                  <c:v>23.17</c:v>
                </c:pt>
                <c:pt idx="5">
                  <c:v>16.35</c:v>
                </c:pt>
                <c:pt idx="6">
                  <c:v>17.34</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5711</Words>
  <Characters>6117</Characters>
  <Lines>54</Lines>
  <Paragraphs>15</Paragraphs>
  <TotalTime>2</TotalTime>
  <ScaleCrop>false</ScaleCrop>
  <LinksUpToDate>false</LinksUpToDate>
  <CharactersWithSpaces>6139</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kylin</cp:lastModifiedBy>
  <cp:lastPrinted>2023-08-03T10:35:00Z</cp:lastPrinted>
  <dcterms:modified xsi:type="dcterms:W3CDTF">2024-09-27T10:27:10Z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41E0B63262BE4EB7B26BB6F8BA68FA7B_12</vt:lpwstr>
  </property>
</Properties>
</file>